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695AB179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695AB177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695AB178" w14:textId="33AFE7CC" w:rsidR="00A73F41" w:rsidRPr="008E1074" w:rsidRDefault="008E1074">
            <w:pPr>
              <w:rPr>
                <w:b/>
                <w:bCs/>
                <w:sz w:val="28"/>
              </w:rPr>
            </w:pPr>
            <w:r w:rsidRPr="008E1074">
              <w:rPr>
                <w:b/>
                <w:bCs/>
              </w:rPr>
              <w:t>Make and fit a wheel arch to a vehicle in the coachbuilding industry</w:t>
            </w:r>
          </w:p>
        </w:tc>
      </w:tr>
      <w:tr w:rsidR="00A73F41" w14:paraId="695AB17E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695AB17A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695AB17B" w14:textId="6272A59B" w:rsidR="00A73F41" w:rsidRDefault="00D253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695AB17C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695AB17D" w14:textId="37577C51" w:rsidR="00A73F41" w:rsidRDefault="00B574D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695AB17F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695AB182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95AB180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695AB181" w14:textId="63480944" w:rsidR="00A73F41" w:rsidRDefault="008E1074">
            <w:r>
              <w:t>People credited with this unit standard are able to: prepare to make a wheel arch for vehicle in the coachbuilding industry; measure, mark out, and cut materials for the wheel arch; and make and fit wheel arch to a vehicle.</w:t>
            </w:r>
          </w:p>
        </w:tc>
      </w:tr>
    </w:tbl>
    <w:p w14:paraId="695AB183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695AB186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95AB184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695AB185" w14:textId="44E9BABE" w:rsidR="00A73F41" w:rsidRDefault="008E1074" w:rsidP="008E1074">
            <w:r>
              <w:t xml:space="preserve">Motor Industry </w:t>
            </w:r>
            <w:r w:rsidR="00A73F41">
              <w:t xml:space="preserve">&gt; </w:t>
            </w:r>
            <w:r>
              <w:t>Coachbuilding</w:t>
            </w:r>
          </w:p>
        </w:tc>
      </w:tr>
    </w:tbl>
    <w:p w14:paraId="695AB187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695AB18A" w14:textId="77777777" w:rsidTr="008E1074">
        <w:trPr>
          <w:trHeight w:val="110"/>
        </w:trPr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695AB188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695AB189" w14:textId="006CE7B5" w:rsidR="00A73F41" w:rsidRDefault="00A73F41" w:rsidP="008E1074">
            <w:r>
              <w:t>Achieved</w:t>
            </w:r>
          </w:p>
        </w:tc>
      </w:tr>
    </w:tbl>
    <w:p w14:paraId="695AB198" w14:textId="2842F62E" w:rsidR="00CB26B0" w:rsidRDefault="00CB26B0">
      <w:pPr>
        <w:rPr>
          <w:rFonts w:cs="Arial"/>
        </w:rPr>
      </w:pPr>
    </w:p>
    <w:p w14:paraId="695AB199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48019495" w14:textId="77777777" w:rsidR="00723428" w:rsidRDefault="00723428" w:rsidP="00723428">
      <w:pPr>
        <w:tabs>
          <w:tab w:val="left" w:pos="567"/>
        </w:tabs>
        <w:rPr>
          <w:rFonts w:cs="Arial"/>
        </w:rPr>
      </w:pPr>
    </w:p>
    <w:p w14:paraId="7FADE347" w14:textId="77777777" w:rsidR="00723428" w:rsidRPr="000C1552" w:rsidRDefault="00723428" w:rsidP="00723428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4CF5221D" w14:textId="77777777" w:rsidR="00723428" w:rsidRDefault="00723428" w:rsidP="00723428">
      <w:pPr>
        <w:pStyle w:val="StyleBefore6ptAfter6pt"/>
        <w:spacing w:before="0" w:after="0"/>
        <w:ind w:left="567" w:hanging="567"/>
        <w:rPr>
          <w:rFonts w:cs="Arial"/>
        </w:rPr>
      </w:pPr>
    </w:p>
    <w:p w14:paraId="732A8E2B" w14:textId="77777777" w:rsidR="00723428" w:rsidRPr="000C1552" w:rsidRDefault="00723428" w:rsidP="00723428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429D0D71" w14:textId="77777777" w:rsidR="00723428" w:rsidRDefault="00723428" w:rsidP="00723428">
      <w:pPr>
        <w:pStyle w:val="StyleBefore6ptAfter6pt"/>
        <w:spacing w:before="0" w:after="0"/>
        <w:ind w:left="567" w:hanging="567"/>
        <w:rPr>
          <w:rFonts w:cs="Arial"/>
        </w:rPr>
      </w:pPr>
    </w:p>
    <w:p w14:paraId="1E1991C7" w14:textId="77777777" w:rsidR="00723428" w:rsidRPr="000C1552" w:rsidRDefault="00723428" w:rsidP="00723428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55FA3E15" w14:textId="77777777" w:rsidR="00723428" w:rsidRPr="000C1552" w:rsidRDefault="00723428" w:rsidP="00723428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7C2C8DB5" w14:textId="31A151D0" w:rsidR="00723428" w:rsidRPr="002F0D9E" w:rsidRDefault="00723428" w:rsidP="00723428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EF22D5"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14:paraId="45397B11" w14:textId="77777777" w:rsidR="008E1074" w:rsidRDefault="008E1074" w:rsidP="008E1074">
      <w:pPr>
        <w:keepNext/>
        <w:keepLines/>
        <w:tabs>
          <w:tab w:val="left" w:pos="567"/>
          <w:tab w:val="left" w:pos="1134"/>
          <w:tab w:val="left" w:pos="1417"/>
        </w:tabs>
        <w:ind w:left="567" w:hanging="567"/>
      </w:pPr>
    </w:p>
    <w:p w14:paraId="493321AD" w14:textId="77777777" w:rsidR="008E1074" w:rsidRDefault="008E1074" w:rsidP="008E1074">
      <w:pPr>
        <w:tabs>
          <w:tab w:val="left" w:pos="567"/>
          <w:tab w:val="left" w:pos="1134"/>
          <w:tab w:val="left" w:pos="1417"/>
        </w:tabs>
        <w:ind w:left="567" w:hanging="567"/>
      </w:pPr>
      <w:r>
        <w:t>3</w:t>
      </w:r>
      <w:r>
        <w:tab/>
        <w:t>Range</w:t>
      </w:r>
    </w:p>
    <w:p w14:paraId="499FD645" w14:textId="77777777" w:rsidR="008E1074" w:rsidRDefault="008E1074" w:rsidP="008E1074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  <w:t>wheel arches – square corner, rounded.</w:t>
      </w:r>
    </w:p>
    <w:p w14:paraId="695AB19D" w14:textId="6EE2A12D" w:rsidR="00A73F41" w:rsidRDefault="00A73F41" w:rsidP="008E1074">
      <w:pPr>
        <w:pStyle w:val="StyleBefore6ptAfter6pt"/>
        <w:spacing w:before="0" w:after="0"/>
        <w:rPr>
          <w:rFonts w:cs="Arial"/>
        </w:rPr>
      </w:pPr>
    </w:p>
    <w:p w14:paraId="695AB19E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695AB19F" w14:textId="77777777" w:rsidR="00A73F41" w:rsidRDefault="00A73F41">
      <w:pPr>
        <w:tabs>
          <w:tab w:val="left" w:pos="567"/>
        </w:tabs>
        <w:rPr>
          <w:rFonts w:cs="Arial"/>
        </w:rPr>
      </w:pPr>
    </w:p>
    <w:p w14:paraId="695AB1A0" w14:textId="77777777" w:rsidR="00A73F41" w:rsidRDefault="00A73F41">
      <w:pPr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Outcome 1</w:t>
      </w:r>
    </w:p>
    <w:p w14:paraId="771BAEB5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7C0A4A1D" w14:textId="77777777" w:rsidR="008E1074" w:rsidRPr="006C792C" w:rsidRDefault="008E1074" w:rsidP="008E1074">
      <w:pPr>
        <w:tabs>
          <w:tab w:val="left" w:pos="2260"/>
        </w:tabs>
        <w:rPr>
          <w:rFonts w:cs="Arial"/>
        </w:rPr>
      </w:pPr>
      <w:r w:rsidRPr="006C792C">
        <w:rPr>
          <w:rFonts w:cs="Arial"/>
        </w:rPr>
        <w:t>Prepare to make a wheel arch for vehicle in the coachbuilding industry.</w:t>
      </w:r>
    </w:p>
    <w:p w14:paraId="31CA3E2F" w14:textId="77777777" w:rsidR="008E1074" w:rsidRPr="006C792C" w:rsidRDefault="008E1074" w:rsidP="008E1074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36C07075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  <w:b/>
        </w:rPr>
      </w:pPr>
      <w:r w:rsidRPr="006C792C">
        <w:rPr>
          <w:rFonts w:cs="Arial"/>
          <w:b/>
        </w:rPr>
        <w:t>Performance criteria</w:t>
      </w:r>
    </w:p>
    <w:p w14:paraId="0FA71B1D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5E9E1EB6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730D2486" w14:textId="34AFF0D3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  <w:r w:rsidRPr="006C792C">
        <w:rPr>
          <w:rFonts w:cs="Arial"/>
        </w:rPr>
        <w:lastRenderedPageBreak/>
        <w:t>1.</w:t>
      </w:r>
      <w:r w:rsidR="00EF22D5">
        <w:rPr>
          <w:rFonts w:cs="Arial"/>
        </w:rPr>
        <w:t>1</w:t>
      </w:r>
      <w:r w:rsidRPr="006C792C">
        <w:rPr>
          <w:rFonts w:cs="Arial"/>
        </w:rPr>
        <w:tab/>
        <w:t>Materials and attachments used to make the wheel arch are identified and procured.</w:t>
      </w:r>
    </w:p>
    <w:p w14:paraId="5A3F24E9" w14:textId="77777777" w:rsidR="008E1074" w:rsidRPr="006C792C" w:rsidRDefault="008E1074" w:rsidP="008E1074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4377DEC7" w14:textId="3B657516" w:rsidR="008E1074" w:rsidRPr="006C792C" w:rsidRDefault="008E1074" w:rsidP="008E1074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6C792C">
        <w:rPr>
          <w:rFonts w:cs="Arial"/>
        </w:rPr>
        <w:tab/>
        <w:t xml:space="preserve">materials may </w:t>
      </w:r>
      <w:r w:rsidR="00EF22D5">
        <w:rPr>
          <w:rFonts w:cs="Arial"/>
        </w:rPr>
        <w:t xml:space="preserve">include </w:t>
      </w:r>
      <w:r>
        <w:rPr>
          <w:rFonts w:cs="Arial"/>
        </w:rPr>
        <w:t xml:space="preserve">– </w:t>
      </w:r>
      <w:r w:rsidRPr="006C792C">
        <w:rPr>
          <w:rFonts w:cs="Arial"/>
        </w:rPr>
        <w:t>steel, aluminium, timber, composite.</w:t>
      </w:r>
    </w:p>
    <w:p w14:paraId="68AA53DA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695FD10C" w14:textId="2725527F" w:rsidR="008E1074" w:rsidRPr="006C792C" w:rsidRDefault="008E1074" w:rsidP="008E1074">
      <w:pPr>
        <w:tabs>
          <w:tab w:val="left" w:pos="2540"/>
        </w:tabs>
        <w:ind w:left="1123" w:hanging="1123"/>
        <w:rPr>
          <w:rFonts w:cs="Arial"/>
        </w:rPr>
      </w:pPr>
      <w:r w:rsidRPr="006C792C">
        <w:rPr>
          <w:rFonts w:cs="Arial"/>
        </w:rPr>
        <w:t>1.</w:t>
      </w:r>
      <w:r w:rsidR="00EF22D5">
        <w:rPr>
          <w:rFonts w:cs="Arial"/>
        </w:rPr>
        <w:t>2</w:t>
      </w:r>
      <w:r w:rsidRPr="006C792C">
        <w:rPr>
          <w:rFonts w:cs="Arial"/>
        </w:rPr>
        <w:tab/>
        <w:t>Clearance between wheels and body, and allowance for suspension movement, are identified.</w:t>
      </w:r>
    </w:p>
    <w:p w14:paraId="19B7F11F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40A9F16D" w14:textId="5BC5DFE5" w:rsidR="008E1074" w:rsidRPr="006C792C" w:rsidRDefault="00A66278" w:rsidP="008E1074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="008E1074" w:rsidRPr="006C792C">
        <w:rPr>
          <w:rFonts w:cs="Arial"/>
          <w:b/>
        </w:rPr>
        <w:t xml:space="preserve"> 2</w:t>
      </w:r>
    </w:p>
    <w:p w14:paraId="529FC128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55C1FE36" w14:textId="77777777" w:rsidR="008E1074" w:rsidRPr="006C792C" w:rsidRDefault="008E1074" w:rsidP="008E1074">
      <w:pPr>
        <w:tabs>
          <w:tab w:val="left" w:pos="2260"/>
        </w:tabs>
        <w:rPr>
          <w:rFonts w:cs="Arial"/>
        </w:rPr>
      </w:pPr>
      <w:r w:rsidRPr="006C792C">
        <w:rPr>
          <w:rFonts w:cs="Arial"/>
        </w:rPr>
        <w:t>Measure, mark out, and cut materials for the wheel arch.</w:t>
      </w:r>
    </w:p>
    <w:p w14:paraId="0E423FED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41233662" w14:textId="4CF2C1EB" w:rsidR="008E1074" w:rsidRPr="006C792C" w:rsidRDefault="008E1074" w:rsidP="00EF22D5">
      <w:pPr>
        <w:tabs>
          <w:tab w:val="left" w:pos="2260"/>
        </w:tabs>
        <w:ind w:left="1123" w:hanging="1123"/>
        <w:rPr>
          <w:rFonts w:cs="Arial"/>
        </w:rPr>
      </w:pPr>
      <w:r w:rsidRPr="006C792C">
        <w:rPr>
          <w:rFonts w:cs="Arial"/>
          <w:b/>
        </w:rPr>
        <w:t>Performance criteria</w:t>
      </w:r>
    </w:p>
    <w:p w14:paraId="666F360D" w14:textId="77777777" w:rsidR="008E1074" w:rsidRPr="006C792C" w:rsidRDefault="008E1074" w:rsidP="008E1074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537972BA" w14:textId="06E6AF74" w:rsidR="008E1074" w:rsidRPr="006C792C" w:rsidRDefault="008E1074" w:rsidP="008E1074">
      <w:pPr>
        <w:keepNext/>
        <w:keepLines/>
        <w:tabs>
          <w:tab w:val="left" w:pos="2540"/>
        </w:tabs>
        <w:ind w:left="1123" w:hanging="1123"/>
        <w:rPr>
          <w:rFonts w:cs="Arial"/>
        </w:rPr>
      </w:pPr>
      <w:r w:rsidRPr="006C792C">
        <w:rPr>
          <w:rFonts w:cs="Arial"/>
        </w:rPr>
        <w:t>2.</w:t>
      </w:r>
      <w:r w:rsidR="00EF22D5">
        <w:rPr>
          <w:rFonts w:cs="Arial"/>
        </w:rPr>
        <w:t>1</w:t>
      </w:r>
      <w:r w:rsidRPr="006C792C">
        <w:rPr>
          <w:rFonts w:cs="Arial"/>
        </w:rPr>
        <w:tab/>
        <w:t>Panel material is measured and legibly marked out.</w:t>
      </w:r>
    </w:p>
    <w:p w14:paraId="753339E3" w14:textId="77777777" w:rsidR="008E1074" w:rsidRPr="006C792C" w:rsidRDefault="008E1074" w:rsidP="008E1074">
      <w:pPr>
        <w:keepNext/>
        <w:keepLines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49409E05" w14:textId="77777777" w:rsidR="008E1074" w:rsidRPr="006C792C" w:rsidRDefault="008E1074" w:rsidP="008E1074">
      <w:pPr>
        <w:keepNext/>
        <w:keepLines/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6C792C">
        <w:rPr>
          <w:rFonts w:cs="Arial"/>
        </w:rPr>
        <w:tab/>
        <w:t>allowance for</w:t>
      </w:r>
      <w:r>
        <w:rPr>
          <w:rFonts w:cs="Arial"/>
        </w:rPr>
        <w:t xml:space="preserve"> – </w:t>
      </w:r>
      <w:r w:rsidRPr="006C792C">
        <w:rPr>
          <w:rFonts w:cs="Arial"/>
        </w:rPr>
        <w:t>wheel and tyre size, suspension movement.</w:t>
      </w:r>
    </w:p>
    <w:p w14:paraId="4EFAF6AA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0CD5B13A" w14:textId="29909946" w:rsidR="008E1074" w:rsidRPr="006C792C" w:rsidRDefault="008E1074" w:rsidP="008E1074">
      <w:pPr>
        <w:tabs>
          <w:tab w:val="left" w:pos="2540"/>
        </w:tabs>
        <w:ind w:left="1123" w:hanging="1123"/>
        <w:rPr>
          <w:rFonts w:cs="Arial"/>
        </w:rPr>
      </w:pPr>
      <w:r w:rsidRPr="006C792C">
        <w:rPr>
          <w:rFonts w:cs="Arial"/>
        </w:rPr>
        <w:t>2.</w:t>
      </w:r>
      <w:r w:rsidR="00EF22D5">
        <w:rPr>
          <w:rFonts w:cs="Arial"/>
        </w:rPr>
        <w:t>2</w:t>
      </w:r>
      <w:r w:rsidRPr="006C792C">
        <w:rPr>
          <w:rFonts w:cs="Arial"/>
        </w:rPr>
        <w:tab/>
        <w:t>Framing materials are measured and legibly marked out.</w:t>
      </w:r>
    </w:p>
    <w:p w14:paraId="7CFCACE6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0481E18E" w14:textId="6EF9BE49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  <w:r w:rsidRPr="006C792C">
        <w:rPr>
          <w:rFonts w:cs="Arial"/>
        </w:rPr>
        <w:t>2.</w:t>
      </w:r>
      <w:r w:rsidR="00EF22D5">
        <w:rPr>
          <w:rFonts w:cs="Arial"/>
        </w:rPr>
        <w:t>3</w:t>
      </w:r>
      <w:r w:rsidRPr="006C792C">
        <w:rPr>
          <w:rFonts w:cs="Arial"/>
        </w:rPr>
        <w:tab/>
        <w:t>All materials are cut to size.</w:t>
      </w:r>
    </w:p>
    <w:p w14:paraId="05B6AA94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4BBAA6C3" w14:textId="44A356B7" w:rsidR="008E1074" w:rsidRPr="006C792C" w:rsidRDefault="008E1074" w:rsidP="008E1074">
      <w:pPr>
        <w:tabs>
          <w:tab w:val="left" w:pos="2540"/>
        </w:tabs>
        <w:ind w:left="1123" w:hanging="1123"/>
        <w:rPr>
          <w:rFonts w:cs="Arial"/>
        </w:rPr>
      </w:pPr>
      <w:r w:rsidRPr="006C792C">
        <w:rPr>
          <w:rFonts w:cs="Arial"/>
        </w:rPr>
        <w:t>2.</w:t>
      </w:r>
      <w:r w:rsidR="00EF22D5">
        <w:rPr>
          <w:rFonts w:cs="Arial"/>
        </w:rPr>
        <w:t>4</w:t>
      </w:r>
      <w:r w:rsidRPr="006C792C">
        <w:rPr>
          <w:rFonts w:cs="Arial"/>
        </w:rPr>
        <w:tab/>
        <w:t>Painting and anti-corrosion procedures are carried out.</w:t>
      </w:r>
    </w:p>
    <w:p w14:paraId="529C6D1E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5612EF6A" w14:textId="67D7160C" w:rsidR="008E1074" w:rsidRPr="006C792C" w:rsidRDefault="00A66278" w:rsidP="008E1074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t>Outcome</w:t>
      </w:r>
      <w:r w:rsidR="008E1074" w:rsidRPr="006C792C">
        <w:rPr>
          <w:rFonts w:cs="Arial"/>
          <w:b/>
        </w:rPr>
        <w:t xml:space="preserve"> 3</w:t>
      </w:r>
    </w:p>
    <w:p w14:paraId="2F779558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19A910A9" w14:textId="77777777" w:rsidR="008E1074" w:rsidRPr="006C792C" w:rsidRDefault="008E1074" w:rsidP="008E1074">
      <w:pPr>
        <w:tabs>
          <w:tab w:val="left" w:pos="2260"/>
        </w:tabs>
        <w:rPr>
          <w:rFonts w:cs="Arial"/>
        </w:rPr>
      </w:pPr>
      <w:r w:rsidRPr="006C792C">
        <w:rPr>
          <w:rFonts w:cs="Arial"/>
        </w:rPr>
        <w:t>Make and fit wheel arch to a vehicle.</w:t>
      </w:r>
    </w:p>
    <w:p w14:paraId="05F0E602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05B4A090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  <w:b/>
        </w:rPr>
      </w:pPr>
      <w:r w:rsidRPr="006C792C">
        <w:rPr>
          <w:rFonts w:cs="Arial"/>
          <w:b/>
        </w:rPr>
        <w:t>Performance criteria</w:t>
      </w:r>
    </w:p>
    <w:p w14:paraId="5AE41092" w14:textId="77777777" w:rsidR="008E1074" w:rsidRPr="006C792C" w:rsidRDefault="008E1074" w:rsidP="00AC1C0A">
      <w:pPr>
        <w:tabs>
          <w:tab w:val="left" w:pos="2260"/>
        </w:tabs>
        <w:ind w:left="1123" w:hanging="1123"/>
        <w:rPr>
          <w:rFonts w:cs="Arial"/>
        </w:rPr>
      </w:pPr>
    </w:p>
    <w:p w14:paraId="7A5C8568" w14:textId="39A906D2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  <w:r w:rsidRPr="006C792C">
        <w:rPr>
          <w:rFonts w:cs="Arial"/>
        </w:rPr>
        <w:t>3.</w:t>
      </w:r>
      <w:r w:rsidR="00EF22D5">
        <w:rPr>
          <w:rFonts w:cs="Arial"/>
        </w:rPr>
        <w:t>1</w:t>
      </w:r>
      <w:r w:rsidRPr="006C792C">
        <w:rPr>
          <w:rFonts w:cs="Arial"/>
        </w:rPr>
        <w:tab/>
        <w:t>Frame is made up and fastened to floor</w:t>
      </w:r>
    </w:p>
    <w:p w14:paraId="4A76D4DA" w14:textId="77777777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</w:p>
    <w:p w14:paraId="4BD08297" w14:textId="14D4E22F" w:rsidR="008E1074" w:rsidRPr="006C792C" w:rsidRDefault="008E1074" w:rsidP="008E1074">
      <w:pPr>
        <w:tabs>
          <w:tab w:val="left" w:pos="2260"/>
        </w:tabs>
        <w:ind w:left="1123" w:hanging="1123"/>
        <w:rPr>
          <w:rFonts w:cs="Arial"/>
        </w:rPr>
      </w:pPr>
      <w:r w:rsidRPr="006C792C">
        <w:rPr>
          <w:rFonts w:cs="Arial"/>
        </w:rPr>
        <w:t>3.</w:t>
      </w:r>
      <w:r w:rsidR="00EF22D5">
        <w:rPr>
          <w:rFonts w:cs="Arial"/>
        </w:rPr>
        <w:t>2</w:t>
      </w:r>
      <w:r w:rsidRPr="006C792C">
        <w:rPr>
          <w:rFonts w:cs="Arial"/>
        </w:rPr>
        <w:tab/>
        <w:t>Wheel arch is shaped and attached to the floor.</w:t>
      </w:r>
    </w:p>
    <w:p w14:paraId="192EBB11" w14:textId="77777777" w:rsidR="008E1074" w:rsidRPr="006C792C" w:rsidRDefault="008E1074" w:rsidP="008E1074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30CB3758" w14:textId="05759465" w:rsidR="008E1074" w:rsidRPr="006C792C" w:rsidRDefault="008E1074" w:rsidP="008E1074">
      <w:pPr>
        <w:tabs>
          <w:tab w:val="left" w:pos="0"/>
          <w:tab w:val="left" w:pos="1134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6C792C">
        <w:rPr>
          <w:rFonts w:cs="Arial"/>
        </w:rPr>
        <w:tab/>
        <w:t>may include</w:t>
      </w:r>
      <w:r w:rsidR="00EF22D5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Pr="006C792C">
        <w:rPr>
          <w:rFonts w:cs="Arial"/>
        </w:rPr>
        <w:t>welding, mechanical fastenings, adhesive bonding, sealing.</w:t>
      </w:r>
    </w:p>
    <w:p w14:paraId="7F16FF56" w14:textId="77777777" w:rsidR="008E1074" w:rsidRPr="006C792C" w:rsidRDefault="008E1074" w:rsidP="008E1074">
      <w:pPr>
        <w:tabs>
          <w:tab w:val="left" w:pos="2540"/>
        </w:tabs>
        <w:ind w:left="1123" w:hanging="1123"/>
        <w:rPr>
          <w:rFonts w:cs="Arial"/>
        </w:rPr>
      </w:pPr>
    </w:p>
    <w:p w14:paraId="304E7450" w14:textId="1B3E21A3" w:rsidR="008E1074" w:rsidRPr="006C792C" w:rsidRDefault="008E1074" w:rsidP="008E1074">
      <w:pPr>
        <w:tabs>
          <w:tab w:val="left" w:pos="2540"/>
        </w:tabs>
        <w:ind w:left="1123" w:hanging="1123"/>
        <w:rPr>
          <w:rFonts w:cs="Arial"/>
        </w:rPr>
      </w:pPr>
      <w:r w:rsidRPr="006C792C">
        <w:rPr>
          <w:rFonts w:cs="Arial"/>
        </w:rPr>
        <w:t>3.</w:t>
      </w:r>
      <w:r w:rsidR="00EF22D5">
        <w:rPr>
          <w:rFonts w:cs="Arial"/>
        </w:rPr>
        <w:t>3</w:t>
      </w:r>
      <w:r w:rsidRPr="006C792C">
        <w:rPr>
          <w:rFonts w:cs="Arial"/>
        </w:rPr>
        <w:tab/>
        <w:t>Painting and anti-corrosion procedures are carried out.</w:t>
      </w:r>
    </w:p>
    <w:p w14:paraId="695AB1AF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695AB1B0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695AB1B7" w14:textId="77777777" w:rsidTr="00A66278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695AB1B5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695AB1B6" w14:textId="4BF0C43F" w:rsidR="00A73F41" w:rsidRDefault="00A66278" w:rsidP="00723428">
            <w:pPr>
              <w:pStyle w:val="StyleBefore6ptAfter6pt"/>
              <w:spacing w:before="0" w:after="0"/>
            </w:pPr>
            <w:r>
              <w:rPr>
                <w:rFonts w:cs="Arial"/>
                <w:color w:val="000000"/>
              </w:rPr>
              <w:t xml:space="preserve">31 December </w:t>
            </w:r>
            <w:r w:rsidR="00EF22D5">
              <w:rPr>
                <w:rFonts w:cs="Arial"/>
                <w:color w:val="000000"/>
              </w:rPr>
              <w:t>2025</w:t>
            </w:r>
          </w:p>
        </w:tc>
      </w:tr>
    </w:tbl>
    <w:p w14:paraId="695AB1B8" w14:textId="77777777" w:rsidR="00A73F41" w:rsidRDefault="00A73F41"/>
    <w:p w14:paraId="695AB1B9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695AB1BE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5AB1BA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5AB1BB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5AB1BC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5AB1BD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695AB1C3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5AB1BF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5AB1C0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5AB1C1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95AB1C2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A66278" w14:paraId="2E0AB92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67F936A" w14:textId="77777777" w:rsidR="00A66278" w:rsidRDefault="00A66278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7471363" w14:textId="3B804D17" w:rsidR="00A66278" w:rsidRDefault="00A6627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CBF9A8D" w14:textId="77777777" w:rsidR="00A66278" w:rsidRDefault="00A66278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D98E80B" w14:textId="77777777" w:rsidR="00A66278" w:rsidRDefault="00A66278">
            <w:pPr>
              <w:keepNext/>
              <w:rPr>
                <w:rFonts w:cs="Arial"/>
              </w:rPr>
            </w:pPr>
          </w:p>
        </w:tc>
      </w:tr>
      <w:tr w:rsidR="00A66278" w14:paraId="1E6363D0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50A4BBD" w14:textId="77777777" w:rsidR="00A66278" w:rsidRDefault="00A66278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7087CBD" w14:textId="25B6065D" w:rsidR="00A66278" w:rsidRDefault="00A6627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BA6016D" w14:textId="77777777" w:rsidR="00A66278" w:rsidRDefault="00A66278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A91973A" w14:textId="77777777" w:rsidR="00A66278" w:rsidRDefault="00A66278">
            <w:pPr>
              <w:keepNext/>
              <w:rPr>
                <w:rFonts w:cs="Arial"/>
              </w:rPr>
            </w:pPr>
          </w:p>
        </w:tc>
      </w:tr>
      <w:tr w:rsidR="00A66278" w14:paraId="4109D361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D5F4E87" w14:textId="77777777" w:rsidR="00A66278" w:rsidRDefault="00A66278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C5459A7" w14:textId="568F5E2F" w:rsidR="00A66278" w:rsidRDefault="00A6627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B000F85" w14:textId="77777777" w:rsidR="00A66278" w:rsidRDefault="00A66278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C602F77" w14:textId="5FFEE5A0" w:rsidR="00A66278" w:rsidRDefault="0072342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31 December </w:t>
            </w:r>
            <w:r w:rsidR="006210BF">
              <w:rPr>
                <w:rFonts w:cs="Arial"/>
              </w:rPr>
              <w:t>2023</w:t>
            </w:r>
          </w:p>
        </w:tc>
      </w:tr>
      <w:tr w:rsidR="00723428" w14:paraId="54784020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0DC989E" w14:textId="037A9CA0" w:rsidR="00723428" w:rsidRDefault="0072342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9D7A7B6" w14:textId="7D9A8641" w:rsidR="00723428" w:rsidRDefault="0072342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149C172" w14:textId="77777777" w:rsidR="00723428" w:rsidRDefault="00723428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58EDB1B" w14:textId="55F1C3F5" w:rsidR="00723428" w:rsidRDefault="00723428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695AB1C4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695AB1C7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695AB1C5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695AB1C6" w14:textId="0B2D0F49" w:rsidR="00A73F41" w:rsidRDefault="00A66278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695AB1C8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695AB1C9" w14:textId="77777777" w:rsidR="00A73F41" w:rsidRDefault="00A73F41"/>
    <w:p w14:paraId="695AB1CA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695AB1CB" w14:textId="77777777" w:rsidR="00A73F41" w:rsidRDefault="00A73F41">
      <w:pPr>
        <w:keepNext/>
        <w:keepLines/>
      </w:pPr>
    </w:p>
    <w:p w14:paraId="567CB21E" w14:textId="660BA488" w:rsidR="00A66278" w:rsidRDefault="00A66278" w:rsidP="00A66278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723428">
        <w:rPr>
          <w:rFonts w:cs="Arial"/>
          <w:color w:val="000000"/>
        </w:rPr>
        <w:t xml:space="preserve">MITO New Zealand Incorporated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695AB1CC" w14:textId="5AF72614" w:rsidR="00A73F41" w:rsidRDefault="00A73F41" w:rsidP="00A66278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82483" w14:textId="77777777" w:rsidR="00953D7A" w:rsidRDefault="00953D7A">
      <w:r>
        <w:separator/>
      </w:r>
    </w:p>
  </w:endnote>
  <w:endnote w:type="continuationSeparator" w:id="0">
    <w:p w14:paraId="42E1926C" w14:textId="77777777" w:rsidR="00953D7A" w:rsidRDefault="0095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A73F41" w14:paraId="695AB1DB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95AB1D8" w14:textId="78BDAE92" w:rsidR="00A73F41" w:rsidRDefault="00723428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695AB1D9" w14:textId="475C8CE2" w:rsidR="00A73F41" w:rsidRDefault="00A73F41" w:rsidP="00966370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 xml:space="preserve">SSB Code </w:t>
          </w:r>
          <w:r w:rsidR="00966370">
            <w:rPr>
              <w:bCs/>
              <w:iCs/>
              <w:sz w:val="20"/>
            </w:rPr>
            <w:t>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95AB1DA" w14:textId="336C189C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B574D9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695AB1DC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D7119" w14:textId="77777777" w:rsidR="00953D7A" w:rsidRDefault="00953D7A">
      <w:r>
        <w:separator/>
      </w:r>
    </w:p>
  </w:footnote>
  <w:footnote w:type="continuationSeparator" w:id="0">
    <w:p w14:paraId="4159D7D0" w14:textId="77777777" w:rsidR="00953D7A" w:rsidRDefault="0095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A73F41" w14:paraId="695AB1D3" w14:textId="77777777" w:rsidTr="001F54BA">
      <w:tc>
        <w:tcPr>
          <w:tcW w:w="4927" w:type="dxa"/>
          <w:shd w:val="clear" w:color="auto" w:fill="auto"/>
        </w:tcPr>
        <w:p w14:paraId="695AB1D1" w14:textId="77777777" w:rsidR="00A73F41" w:rsidRDefault="00A73F41">
          <w:r>
            <w:t>N</w:t>
          </w:r>
          <w:r w:rsidR="00250047">
            <w:t xml:space="preserve">ZQA </w:t>
          </w:r>
          <w:r w:rsidR="00186D30">
            <w:t xml:space="preserve">unit </w:t>
          </w:r>
          <w:r>
            <w:t>standard</w:t>
          </w:r>
        </w:p>
      </w:tc>
      <w:tc>
        <w:tcPr>
          <w:tcW w:w="4927" w:type="dxa"/>
          <w:shd w:val="clear" w:color="auto" w:fill="auto"/>
        </w:tcPr>
        <w:p w14:paraId="695AB1D2" w14:textId="67B3D34A" w:rsidR="00A73F41" w:rsidRDefault="008E1074" w:rsidP="001F54BA">
          <w:pPr>
            <w:jc w:val="right"/>
          </w:pPr>
          <w:r>
            <w:t xml:space="preserve">11707 version </w:t>
          </w:r>
          <w:r w:rsidR="002E0F75">
            <w:t>5</w:t>
          </w:r>
        </w:p>
      </w:tc>
    </w:tr>
    <w:tr w:rsidR="00A73F41" w14:paraId="695AB1D6" w14:textId="77777777" w:rsidTr="001F54BA">
      <w:tc>
        <w:tcPr>
          <w:tcW w:w="4927" w:type="dxa"/>
          <w:shd w:val="clear" w:color="auto" w:fill="auto"/>
        </w:tcPr>
        <w:p w14:paraId="695AB1D4" w14:textId="77777777" w:rsidR="00A73F41" w:rsidRDefault="00A73F41"/>
      </w:tc>
      <w:tc>
        <w:tcPr>
          <w:tcW w:w="4927" w:type="dxa"/>
          <w:shd w:val="clear" w:color="auto" w:fill="auto"/>
        </w:tcPr>
        <w:p w14:paraId="695AB1D5" w14:textId="63E7A4D9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E3BA9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AC5CDB">
            <w:rPr>
              <w:noProof/>
            </w:rPr>
            <w:fldChar w:fldCharType="begin"/>
          </w:r>
          <w:r w:rsidR="00AC5CDB">
            <w:rPr>
              <w:noProof/>
            </w:rPr>
            <w:instrText xml:space="preserve"> numpages </w:instrText>
          </w:r>
          <w:r w:rsidR="00AC5CDB">
            <w:rPr>
              <w:noProof/>
            </w:rPr>
            <w:fldChar w:fldCharType="separate"/>
          </w:r>
          <w:r w:rsidR="00DE3BA9">
            <w:rPr>
              <w:noProof/>
            </w:rPr>
            <w:t>4</w:t>
          </w:r>
          <w:r w:rsidR="00AC5CDB">
            <w:rPr>
              <w:noProof/>
            </w:rPr>
            <w:fldChar w:fldCharType="end"/>
          </w:r>
        </w:p>
      </w:tc>
    </w:tr>
  </w:tbl>
  <w:p w14:paraId="695AB1D7" w14:textId="77777777" w:rsidR="00A73F41" w:rsidRDefault="00A73F4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72F15"/>
    <w:rsid w:val="0007314D"/>
    <w:rsid w:val="00147F70"/>
    <w:rsid w:val="00154DB5"/>
    <w:rsid w:val="00173817"/>
    <w:rsid w:val="00184CC4"/>
    <w:rsid w:val="00186D30"/>
    <w:rsid w:val="001C641D"/>
    <w:rsid w:val="001F54BA"/>
    <w:rsid w:val="00241FCD"/>
    <w:rsid w:val="00250047"/>
    <w:rsid w:val="002574F8"/>
    <w:rsid w:val="002679DA"/>
    <w:rsid w:val="002D5F75"/>
    <w:rsid w:val="002E0F75"/>
    <w:rsid w:val="00394910"/>
    <w:rsid w:val="003A28D4"/>
    <w:rsid w:val="003B10A8"/>
    <w:rsid w:val="003F45BD"/>
    <w:rsid w:val="00403F74"/>
    <w:rsid w:val="004A5C11"/>
    <w:rsid w:val="00505F9D"/>
    <w:rsid w:val="005E0A3B"/>
    <w:rsid w:val="006210BF"/>
    <w:rsid w:val="00635D58"/>
    <w:rsid w:val="00645244"/>
    <w:rsid w:val="006600E6"/>
    <w:rsid w:val="006D7A19"/>
    <w:rsid w:val="006E3E7E"/>
    <w:rsid w:val="00723428"/>
    <w:rsid w:val="007E4808"/>
    <w:rsid w:val="00881417"/>
    <w:rsid w:val="00884BFC"/>
    <w:rsid w:val="008E1074"/>
    <w:rsid w:val="00953D7A"/>
    <w:rsid w:val="00966370"/>
    <w:rsid w:val="00A66278"/>
    <w:rsid w:val="00A70C58"/>
    <w:rsid w:val="00A73F41"/>
    <w:rsid w:val="00AC1C0A"/>
    <w:rsid w:val="00AC3825"/>
    <w:rsid w:val="00AC5CDB"/>
    <w:rsid w:val="00AD1152"/>
    <w:rsid w:val="00B24008"/>
    <w:rsid w:val="00B574D9"/>
    <w:rsid w:val="00BC60EC"/>
    <w:rsid w:val="00BD7532"/>
    <w:rsid w:val="00BF6848"/>
    <w:rsid w:val="00C9437C"/>
    <w:rsid w:val="00CA1A23"/>
    <w:rsid w:val="00CB26B0"/>
    <w:rsid w:val="00D253CD"/>
    <w:rsid w:val="00D317F1"/>
    <w:rsid w:val="00DC3918"/>
    <w:rsid w:val="00DE3BA9"/>
    <w:rsid w:val="00E60CCA"/>
    <w:rsid w:val="00E73444"/>
    <w:rsid w:val="00EE3E61"/>
    <w:rsid w:val="00EF22D5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5AB177"/>
  <w15:chartTrackingRefBased/>
  <w15:docId w15:val="{F5DA60CE-5925-42FC-8E94-0A25F2EC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B046E-733E-4810-9961-C5E6239F8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8B895-15F1-497F-9188-6221E538D822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2e07033-edef-4719-9d25-d7f839bb96db"/>
    <ds:schemaRef ds:uri="f86a351b-f0af-42be-bb70-79982ec59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3222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dc:description/>
  <cp:lastModifiedBy>Coral Carlyle (MITO)</cp:lastModifiedBy>
  <cp:revision>4</cp:revision>
  <cp:lastPrinted>2010-06-03T23:16:00Z</cp:lastPrinted>
  <dcterms:created xsi:type="dcterms:W3CDTF">2021-07-22T21:42:00Z</dcterms:created>
  <dcterms:modified xsi:type="dcterms:W3CDTF">2021-08-02T00:14:00Z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  <property fmtid="{D5CDD505-2E9C-101B-9397-08002B2CF9AE}" pid="6" name="AuthorIds_UIVersion_2048">
    <vt:lpwstr>71</vt:lpwstr>
  </property>
</Properties>
</file>